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BAAC70">
      <w:pPr>
        <w:jc w:val="left"/>
        <w:rPr>
          <w:rFonts w:hint="default" w:ascii="宋体" w:hAnsi="宋体" w:eastAsia="宋体"/>
          <w:color w:val="000000"/>
          <w:sz w:val="23"/>
          <w:highlight w:val="yellow"/>
          <w:lang w:val="en-US" w:eastAsia="zh-CN"/>
        </w:rPr>
      </w:pPr>
      <w:r>
        <w:rPr>
          <w:rFonts w:hint="eastAsia" w:ascii="宋体" w:hAnsi="宋体"/>
          <w:color w:val="000000"/>
          <w:sz w:val="24"/>
          <w:szCs w:val="24"/>
          <w:lang w:val="en-US" w:eastAsia="zh-CN"/>
        </w:rPr>
        <w:t>证券</w:t>
      </w:r>
      <w:r>
        <w:rPr>
          <w:rFonts w:hint="eastAsia" w:ascii="宋体" w:hAnsi="宋体" w:eastAsia="宋体"/>
          <w:color w:val="000000"/>
          <w:sz w:val="24"/>
          <w:szCs w:val="24"/>
        </w:rPr>
        <w:t xml:space="preserve">代码：002043             </w:t>
      </w:r>
      <w:r>
        <w:rPr>
          <w:rFonts w:hint="eastAsia" w:ascii="宋体" w:hAnsi="宋体"/>
          <w:color w:val="000000"/>
          <w:sz w:val="24"/>
          <w:szCs w:val="24"/>
          <w:lang w:val="en-US" w:eastAsia="zh-CN"/>
        </w:rPr>
        <w:t>证券</w:t>
      </w:r>
      <w:r>
        <w:rPr>
          <w:rFonts w:hint="eastAsia" w:ascii="宋体" w:hAnsi="宋体" w:eastAsia="宋体"/>
          <w:color w:val="000000"/>
          <w:sz w:val="24"/>
          <w:szCs w:val="24"/>
        </w:rPr>
        <w:t>简称：兔宝宝             公告编号：2</w:t>
      </w:r>
      <w:r>
        <w:rPr>
          <w:rFonts w:hint="eastAsia" w:ascii="宋体" w:hAnsi="宋体"/>
          <w:color w:val="000000"/>
          <w:sz w:val="24"/>
          <w:szCs w:val="24"/>
          <w:lang w:val="en-US" w:eastAsia="zh-CN"/>
        </w:rPr>
        <w:t>024</w:t>
      </w:r>
      <w:r>
        <w:rPr>
          <w:rFonts w:hint="eastAsia" w:ascii="宋体" w:hAnsi="宋体" w:eastAsia="宋体"/>
          <w:color w:val="000000"/>
          <w:sz w:val="24"/>
          <w:szCs w:val="24"/>
        </w:rPr>
        <w:t>-</w:t>
      </w:r>
      <w:r>
        <w:rPr>
          <w:rFonts w:hint="eastAsia" w:ascii="宋体" w:hAnsi="宋体"/>
          <w:color w:val="000000"/>
          <w:sz w:val="24"/>
          <w:szCs w:val="24"/>
          <w:highlight w:val="none"/>
          <w:lang w:val="en-US" w:eastAsia="zh-CN"/>
        </w:rPr>
        <w:t>049</w:t>
      </w:r>
    </w:p>
    <w:p w14:paraId="5498078B">
      <w:pPr>
        <w:spacing w:line="260" w:lineRule="exact"/>
        <w:jc w:val="center"/>
        <w:rPr>
          <w:rFonts w:ascii="宋体" w:hAnsi="宋体" w:eastAsia="宋体"/>
          <w:b/>
          <w:bCs/>
          <w:color w:val="000000"/>
          <w:szCs w:val="21"/>
        </w:rPr>
      </w:pPr>
    </w:p>
    <w:p w14:paraId="11EDDFD2">
      <w:pPr>
        <w:spacing w:line="360" w:lineRule="auto"/>
        <w:jc w:val="center"/>
        <w:rPr>
          <w:rFonts w:ascii="宋体" w:hAnsi="宋体" w:eastAsia="宋体"/>
          <w:b/>
          <w:bCs/>
          <w:color w:val="000000"/>
          <w:sz w:val="30"/>
        </w:rPr>
      </w:pPr>
      <w:r>
        <w:rPr>
          <w:rFonts w:hint="eastAsia" w:ascii="宋体" w:hAnsi="宋体" w:eastAsia="宋体"/>
          <w:b/>
          <w:bCs/>
          <w:color w:val="000000"/>
          <w:sz w:val="30"/>
        </w:rPr>
        <w:t>德华兔宝宝装饰新材股份有限公司</w:t>
      </w:r>
    </w:p>
    <w:p w14:paraId="323EC70A">
      <w:pPr>
        <w:pStyle w:val="2"/>
        <w:spacing w:before="0" w:beforeAutospacing="0" w:after="0" w:afterAutospacing="0" w:line="360" w:lineRule="auto"/>
        <w:jc w:val="center"/>
        <w:rPr>
          <w:rFonts w:hint="default" w:ascii="宋体" w:hAnsi="宋体" w:eastAsia="宋体"/>
          <w:b/>
          <w:bCs/>
          <w:color w:val="000000"/>
          <w:kern w:val="2"/>
          <w:szCs w:val="20"/>
        </w:rPr>
      </w:pPr>
      <w:r>
        <w:rPr>
          <w:rFonts w:hint="eastAsia" w:ascii="宋体" w:hAnsi="宋体" w:eastAsia="宋体"/>
          <w:b/>
          <w:bCs/>
          <w:color w:val="000000"/>
          <w:kern w:val="2"/>
          <w:szCs w:val="20"/>
        </w:rPr>
        <w:t>关于</w:t>
      </w:r>
      <w:r>
        <w:rPr>
          <w:rFonts w:hint="eastAsia"/>
          <w:b/>
          <w:bCs/>
          <w:color w:val="000000"/>
          <w:kern w:val="2"/>
          <w:szCs w:val="20"/>
          <w:lang w:val="en-US" w:eastAsia="zh-CN"/>
        </w:rPr>
        <w:t>吸收合并全资子公司</w:t>
      </w:r>
      <w:r>
        <w:rPr>
          <w:rFonts w:hint="eastAsia" w:ascii="宋体" w:hAnsi="宋体" w:eastAsia="宋体"/>
          <w:b/>
          <w:bCs/>
          <w:color w:val="000000"/>
          <w:kern w:val="2"/>
          <w:szCs w:val="20"/>
        </w:rPr>
        <w:t>的公告</w:t>
      </w:r>
    </w:p>
    <w:p w14:paraId="557E4324">
      <w:pPr>
        <w:spacing w:line="360" w:lineRule="auto"/>
        <w:jc w:val="left"/>
        <w:rPr>
          <w:rFonts w:ascii="宋体" w:hAnsi="宋体" w:eastAsia="宋体"/>
          <w:color w:val="000000"/>
          <w:sz w:val="18"/>
          <w:szCs w:val="18"/>
        </w:rPr>
      </w:pPr>
      <w:r>
        <w:rPr>
          <w:rFonts w:hint="eastAsia" w:ascii="宋体" w:hAnsi="宋体" w:eastAsia="宋体"/>
          <w:color w:val="000000"/>
          <w:sz w:val="24"/>
          <w:szCs w:val="24"/>
        </w:rPr>
        <w:t xml:space="preserve">    </w:t>
      </w:r>
    </w:p>
    <w:p w14:paraId="63F10AFB">
      <w:pPr>
        <w:spacing w:line="360" w:lineRule="auto"/>
        <w:jc w:val="left"/>
        <w:rPr>
          <w:rFonts w:ascii="宋体" w:hAnsi="宋体" w:eastAsia="宋体"/>
          <w:color w:val="000000"/>
          <w:sz w:val="24"/>
          <w:szCs w:val="24"/>
        </w:rPr>
      </w:pPr>
      <w:r>
        <w:rPr>
          <w:rFonts w:hint="eastAsia" w:ascii="宋体" w:hAnsi="宋体" w:eastAsia="宋体"/>
          <w:color w:val="000000"/>
          <w:sz w:val="24"/>
          <w:szCs w:val="24"/>
        </w:rPr>
        <w:t xml:space="preserve">    </w:t>
      </w:r>
      <w:r>
        <w:rPr>
          <w:rFonts w:hint="eastAsia" w:ascii="宋体" w:hAnsi="宋体" w:eastAsia="宋体"/>
          <w:b/>
          <w:bCs/>
          <w:color w:val="000000"/>
          <w:sz w:val="24"/>
          <w:szCs w:val="24"/>
        </w:rPr>
        <w:t>本公司及董事会全体成员保证信息披露内容的真实、准确和完整，没有虚假记载、误导性陈述或重大遗漏。</w:t>
      </w:r>
    </w:p>
    <w:p w14:paraId="22C91794">
      <w:pPr>
        <w:spacing w:line="360" w:lineRule="auto"/>
        <w:ind w:firstLine="0" w:firstLineChars="0"/>
        <w:jc w:val="left"/>
        <w:rPr>
          <w:rFonts w:hint="eastAsia" w:ascii="宋体" w:hAnsi="宋体" w:cs="宋体"/>
          <w:sz w:val="24"/>
          <w:szCs w:val="24"/>
          <w:lang w:val="en-US" w:eastAsia="zh-CN"/>
        </w:rPr>
      </w:pPr>
      <w:r>
        <w:rPr>
          <w:rFonts w:hint="eastAsia" w:ascii="宋体" w:hAnsi="宋体" w:eastAsia="宋体"/>
          <w:color w:val="000000"/>
          <w:sz w:val="24"/>
          <w:szCs w:val="24"/>
        </w:rPr>
        <w:t xml:space="preserve">   </w:t>
      </w:r>
    </w:p>
    <w:p w14:paraId="5144E145">
      <w:pPr>
        <w:spacing w:line="360" w:lineRule="auto"/>
        <w:ind w:firstLine="482" w:firstLineChars="200"/>
        <w:jc w:val="both"/>
        <w:rPr>
          <w:rFonts w:hint="default" w:ascii="宋体" w:hAnsi="宋体" w:cs="宋体"/>
          <w:b/>
          <w:bCs/>
          <w:sz w:val="24"/>
          <w:szCs w:val="24"/>
          <w:lang w:val="en-US" w:eastAsia="zh-CN"/>
        </w:rPr>
      </w:pPr>
      <w:r>
        <w:rPr>
          <w:rFonts w:hint="eastAsia" w:ascii="宋体" w:hAnsi="宋体" w:cs="宋体"/>
          <w:b/>
          <w:bCs/>
          <w:sz w:val="24"/>
          <w:szCs w:val="24"/>
          <w:lang w:val="en-US" w:eastAsia="zh-CN"/>
        </w:rPr>
        <w:t>一、吸收合并情况概述</w:t>
      </w:r>
    </w:p>
    <w:p w14:paraId="3DA2ABEF">
      <w:pPr>
        <w:spacing w:line="360" w:lineRule="auto"/>
        <w:ind w:firstLine="480" w:firstLineChars="200"/>
        <w:jc w:val="both"/>
        <w:rPr>
          <w:rFonts w:hint="eastAsia" w:ascii="宋体" w:hAnsi="宋体" w:eastAsia="宋体" w:cs="宋体"/>
          <w:color w:val="auto"/>
          <w:sz w:val="24"/>
          <w:szCs w:val="24"/>
          <w:highlight w:val="none"/>
        </w:rPr>
      </w:pPr>
      <w:r>
        <w:rPr>
          <w:rFonts w:hint="eastAsia" w:ascii="宋体" w:hAnsi="宋体" w:cs="宋体"/>
          <w:sz w:val="24"/>
          <w:szCs w:val="24"/>
          <w:lang w:val="en-US" w:eastAsia="zh-CN"/>
        </w:rPr>
        <w:t>德华兔宝宝装饰新材股份有限公司</w:t>
      </w:r>
      <w:r>
        <w:rPr>
          <w:rFonts w:hint="eastAsia" w:ascii="宋体" w:hAnsi="宋体" w:eastAsia="宋体" w:cs="宋体"/>
          <w:sz w:val="24"/>
          <w:szCs w:val="24"/>
        </w:rPr>
        <w:t>（以</w:t>
      </w:r>
      <w:r>
        <w:rPr>
          <w:rFonts w:hint="eastAsia" w:ascii="宋体" w:hAnsi="宋体" w:eastAsia="宋体" w:cs="宋体"/>
          <w:color w:val="auto"/>
          <w:sz w:val="24"/>
          <w:szCs w:val="24"/>
        </w:rPr>
        <w:t>下简称“公司”</w:t>
      </w:r>
      <w:r>
        <w:rPr>
          <w:rFonts w:hint="eastAsia" w:ascii="宋体" w:hAnsi="宋体" w:cs="宋体"/>
          <w:color w:val="auto"/>
          <w:sz w:val="24"/>
          <w:szCs w:val="24"/>
          <w:lang w:val="en-US" w:eastAsia="zh-CN"/>
        </w:rPr>
        <w:t>或“兔宝宝”</w:t>
      </w:r>
      <w:r>
        <w:rPr>
          <w:rFonts w:hint="eastAsia" w:ascii="宋体" w:hAnsi="宋体" w:eastAsia="宋体" w:cs="宋体"/>
          <w:color w:val="auto"/>
          <w:sz w:val="24"/>
          <w:szCs w:val="24"/>
        </w:rPr>
        <w:t>）</w:t>
      </w:r>
      <w:r>
        <w:rPr>
          <w:rFonts w:hint="eastAsia" w:ascii="宋体" w:hAnsi="宋体" w:cs="宋体"/>
          <w:color w:val="auto"/>
          <w:sz w:val="24"/>
          <w:szCs w:val="24"/>
          <w:lang w:val="en-US" w:eastAsia="zh-CN"/>
        </w:rPr>
        <w:t>于2024年9月19日召开</w:t>
      </w:r>
      <w:r>
        <w:rPr>
          <w:rFonts w:hint="eastAsia" w:ascii="宋体" w:hAnsi="宋体" w:eastAsia="宋体" w:cs="宋体"/>
          <w:color w:val="auto"/>
          <w:sz w:val="24"/>
          <w:szCs w:val="24"/>
        </w:rPr>
        <w:t>第</w:t>
      </w:r>
      <w:r>
        <w:rPr>
          <w:rFonts w:hint="eastAsia" w:ascii="宋体" w:hAnsi="宋体" w:cs="宋体"/>
          <w:color w:val="auto"/>
          <w:sz w:val="24"/>
          <w:szCs w:val="24"/>
          <w:highlight w:val="none"/>
          <w:lang w:val="en-US" w:eastAsia="zh-CN"/>
        </w:rPr>
        <w:t>八</w:t>
      </w:r>
      <w:r>
        <w:rPr>
          <w:rFonts w:hint="eastAsia" w:ascii="宋体" w:hAnsi="宋体" w:eastAsia="宋体" w:cs="宋体"/>
          <w:color w:val="auto"/>
          <w:sz w:val="24"/>
          <w:szCs w:val="24"/>
          <w:highlight w:val="none"/>
        </w:rPr>
        <w:t>届董事会第</w:t>
      </w:r>
      <w:r>
        <w:rPr>
          <w:rFonts w:hint="eastAsia" w:ascii="宋体" w:hAnsi="宋体" w:cs="宋体"/>
          <w:color w:val="auto"/>
          <w:sz w:val="24"/>
          <w:szCs w:val="24"/>
          <w:highlight w:val="none"/>
          <w:lang w:val="en-US" w:eastAsia="zh-CN"/>
        </w:rPr>
        <w:t>十</w:t>
      </w:r>
      <w:r>
        <w:rPr>
          <w:rFonts w:hint="eastAsia" w:ascii="宋体" w:hAnsi="宋体" w:eastAsia="宋体" w:cs="宋体"/>
          <w:color w:val="auto"/>
          <w:sz w:val="24"/>
          <w:szCs w:val="24"/>
          <w:highlight w:val="none"/>
        </w:rPr>
        <w:t>次会议通过了《关于</w:t>
      </w:r>
      <w:r>
        <w:rPr>
          <w:rFonts w:hint="eastAsia" w:ascii="宋体" w:hAnsi="宋体" w:cs="宋体"/>
          <w:color w:val="auto"/>
          <w:sz w:val="24"/>
          <w:szCs w:val="24"/>
          <w:highlight w:val="none"/>
          <w:lang w:val="en-US" w:eastAsia="zh-CN"/>
        </w:rPr>
        <w:t>吸收合并全资子公司</w:t>
      </w:r>
      <w:r>
        <w:rPr>
          <w:rFonts w:hint="eastAsia" w:ascii="宋体" w:hAnsi="宋体" w:eastAsia="宋体" w:cs="宋体"/>
          <w:color w:val="auto"/>
          <w:sz w:val="24"/>
          <w:szCs w:val="24"/>
          <w:highlight w:val="none"/>
        </w:rPr>
        <w:t>的议案</w:t>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t>同意公司通过整体吸收合并方式合并</w:t>
      </w:r>
      <w:r>
        <w:rPr>
          <w:rFonts w:hint="eastAsia" w:ascii="宋体" w:hAnsi="宋体" w:cs="宋体"/>
          <w:color w:val="auto"/>
          <w:sz w:val="24"/>
          <w:szCs w:val="24"/>
          <w:highlight w:val="none"/>
          <w:lang w:val="en-US" w:eastAsia="zh-CN"/>
        </w:rPr>
        <w:t>浙江德升木业有限公司</w:t>
      </w:r>
      <w:r>
        <w:rPr>
          <w:rFonts w:hint="eastAsia" w:ascii="宋体" w:hAnsi="宋体" w:eastAsia="宋体" w:cs="宋体"/>
          <w:color w:val="auto"/>
          <w:sz w:val="24"/>
          <w:szCs w:val="24"/>
          <w:highlight w:val="none"/>
        </w:rPr>
        <w:t>（以下简称“</w:t>
      </w:r>
      <w:r>
        <w:rPr>
          <w:rFonts w:hint="eastAsia" w:ascii="宋体" w:hAnsi="宋体" w:cs="宋体"/>
          <w:color w:val="auto"/>
          <w:sz w:val="24"/>
          <w:szCs w:val="24"/>
          <w:highlight w:val="none"/>
          <w:lang w:val="en-US" w:eastAsia="zh-CN"/>
        </w:rPr>
        <w:t>德升木业</w:t>
      </w:r>
      <w:r>
        <w:rPr>
          <w:rFonts w:hint="eastAsia" w:ascii="宋体" w:hAnsi="宋体" w:eastAsia="宋体" w:cs="宋体"/>
          <w:color w:val="auto"/>
          <w:sz w:val="24"/>
          <w:szCs w:val="24"/>
          <w:highlight w:val="none"/>
        </w:rPr>
        <w:t>”）</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合并完成后，德升木业</w:t>
      </w:r>
      <w:r>
        <w:rPr>
          <w:rFonts w:hint="eastAsia" w:ascii="宋体" w:hAnsi="宋体" w:eastAsia="宋体" w:cs="宋体"/>
          <w:color w:val="auto"/>
          <w:sz w:val="24"/>
          <w:szCs w:val="24"/>
          <w:highlight w:val="none"/>
        </w:rPr>
        <w:t>全部资产、负债、业务、人员和相关资质等均由</w:t>
      </w:r>
      <w:r>
        <w:rPr>
          <w:rFonts w:hint="eastAsia" w:ascii="宋体" w:hAnsi="宋体" w:cs="宋体"/>
          <w:color w:val="auto"/>
          <w:sz w:val="24"/>
          <w:szCs w:val="24"/>
          <w:highlight w:val="none"/>
          <w:lang w:val="en-US" w:eastAsia="zh-CN"/>
        </w:rPr>
        <w:t>兔宝宝</w:t>
      </w:r>
      <w:r>
        <w:rPr>
          <w:rFonts w:hint="eastAsia" w:ascii="宋体" w:hAnsi="宋体" w:eastAsia="宋体" w:cs="宋体"/>
          <w:color w:val="auto"/>
          <w:sz w:val="24"/>
          <w:szCs w:val="24"/>
          <w:highlight w:val="none"/>
        </w:rPr>
        <w:t>承继。</w:t>
      </w:r>
    </w:p>
    <w:p w14:paraId="70DFE0C6">
      <w:pPr>
        <w:spacing w:line="360" w:lineRule="auto"/>
        <w:ind w:firstLine="480" w:firstLineChars="200"/>
        <w:jc w:val="both"/>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本次吸收合并不构成关联交易，也不构成《上市公司重大资产重组管理办法》规定的重大资产重组情形。根据《公司章程》规定，本次吸收合并需提交公司股东大会审议。</w:t>
      </w:r>
    </w:p>
    <w:p w14:paraId="73D6BE26">
      <w:pPr>
        <w:spacing w:line="360" w:lineRule="auto"/>
        <w:ind w:firstLine="482" w:firstLineChars="200"/>
        <w:jc w:val="both"/>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二、合并双方基本情况</w:t>
      </w:r>
    </w:p>
    <w:p w14:paraId="6EDCE51B">
      <w:pPr>
        <w:spacing w:line="360" w:lineRule="auto"/>
        <w:ind w:firstLine="480" w:firstLineChars="200"/>
        <w:jc w:val="both"/>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（一）合并方基本情况</w:t>
      </w:r>
    </w:p>
    <w:p w14:paraId="64E30C0E">
      <w:pPr>
        <w:spacing w:line="360" w:lineRule="auto"/>
        <w:ind w:firstLine="480" w:firstLineChars="200"/>
        <w:jc w:val="both"/>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1、公司名称：德华兔宝宝装饰新材股份有限公司</w:t>
      </w:r>
    </w:p>
    <w:p w14:paraId="778353F8">
      <w:pPr>
        <w:spacing w:line="360" w:lineRule="auto"/>
        <w:ind w:firstLine="480" w:firstLineChars="200"/>
        <w:jc w:val="both"/>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2、统一社会信用代码：913300006095805007</w:t>
      </w:r>
    </w:p>
    <w:p w14:paraId="17654485">
      <w:pPr>
        <w:spacing w:line="360" w:lineRule="auto"/>
        <w:ind w:firstLine="480" w:firstLineChars="200"/>
        <w:jc w:val="both"/>
        <w:rPr>
          <w:rFonts w:hint="eastAsia"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3、公司地址：浙江省德清县洛舍镇工业区</w:t>
      </w:r>
    </w:p>
    <w:p w14:paraId="2367CCDB">
      <w:pPr>
        <w:spacing w:line="360" w:lineRule="auto"/>
        <w:ind w:firstLine="480" w:firstLineChars="200"/>
        <w:jc w:val="both"/>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default" w:ascii="宋体" w:hAnsi="宋体" w:cs="宋体"/>
          <w:color w:val="auto"/>
          <w:sz w:val="24"/>
          <w:szCs w:val="24"/>
          <w:highlight w:val="none"/>
          <w:lang w:val="en-US" w:eastAsia="zh-CN"/>
        </w:rPr>
        <w:t>公司法人</w:t>
      </w:r>
      <w:r>
        <w:rPr>
          <w:rFonts w:hint="eastAsia" w:ascii="宋体" w:hAnsi="宋体" w:cs="宋体"/>
          <w:color w:val="auto"/>
          <w:sz w:val="24"/>
          <w:szCs w:val="24"/>
          <w:highlight w:val="none"/>
          <w:lang w:val="en-US" w:eastAsia="zh-CN"/>
        </w:rPr>
        <w:t>：丁鸿敏</w:t>
      </w:r>
    </w:p>
    <w:p w14:paraId="1A7E1317">
      <w:pPr>
        <w:spacing w:line="360" w:lineRule="auto"/>
        <w:ind w:firstLine="480" w:firstLineChars="200"/>
        <w:jc w:val="both"/>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default" w:ascii="宋体" w:hAnsi="宋体" w:cs="宋体"/>
          <w:color w:val="auto"/>
          <w:sz w:val="24"/>
          <w:szCs w:val="24"/>
          <w:highlight w:val="none"/>
          <w:lang w:val="en-US" w:eastAsia="zh-CN"/>
        </w:rPr>
        <w:t>注册资本：</w:t>
      </w:r>
      <w:r>
        <w:rPr>
          <w:rFonts w:hint="eastAsia" w:ascii="宋体" w:hAnsi="宋体" w:cs="宋体"/>
          <w:color w:val="auto"/>
          <w:sz w:val="24"/>
          <w:szCs w:val="24"/>
          <w:highlight w:val="none"/>
          <w:lang w:val="en-US" w:eastAsia="zh-CN"/>
        </w:rPr>
        <w:t>83,914.6372万元</w:t>
      </w:r>
    </w:p>
    <w:p w14:paraId="7E9A83C7">
      <w:pPr>
        <w:spacing w:line="360" w:lineRule="auto"/>
        <w:ind w:firstLine="480" w:firstLineChars="200"/>
        <w:jc w:val="both"/>
        <w:rPr>
          <w:rFonts w:hint="eastAsia" w:ascii="宋体" w:hAnsi="宋体" w:eastAsia="宋体" w:cs="宋体"/>
          <w:color w:val="auto"/>
          <w:sz w:val="24"/>
          <w:szCs w:val="24"/>
        </w:rPr>
      </w:pPr>
      <w:r>
        <w:rPr>
          <w:rFonts w:hint="eastAsia" w:ascii="宋体" w:hAnsi="宋体" w:cs="宋体"/>
          <w:color w:val="auto"/>
          <w:sz w:val="24"/>
          <w:szCs w:val="24"/>
          <w:lang w:val="en-US" w:eastAsia="zh-CN"/>
        </w:rPr>
        <w:t>6、</w:t>
      </w:r>
      <w:r>
        <w:rPr>
          <w:rFonts w:hint="eastAsia" w:ascii="宋体" w:hAnsi="宋体" w:eastAsia="宋体" w:cs="宋体"/>
          <w:color w:val="auto"/>
          <w:sz w:val="24"/>
          <w:szCs w:val="24"/>
        </w:rPr>
        <w:t>经营范围：油漆、辅助材料的批发无储存经营（凭许可证经营），木制品检测（凭许可证经营），第二类增值电信业务中的信息服务业务（仅限互联网信息服务）（凭许可证经营），人造板、装饰贴面板，木质地板（限分支机构生产）、其它木制品及化工产品（不含危险品及易制毒化学品）的生产、销售，木门、衣柜厨具、木制家具的销售，速生木种植，原木的加工和销售，经营进出口业务，质量技术咨询服务，计算机网络技术的技术开发，家居用品设计，会展服务，市场营销策划，品牌管理服务，装饰材料的制造与销售。（依法须经批准的项目，经相关部门批准后方可开展经营活动）</w:t>
      </w:r>
    </w:p>
    <w:p w14:paraId="640870A1">
      <w:pPr>
        <w:spacing w:line="360" w:lineRule="auto"/>
        <w:ind w:firstLine="480" w:firstLineChars="200"/>
        <w:jc w:val="both"/>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7、公司母公司最近一年又一期的主要财务数据：</w:t>
      </w:r>
    </w:p>
    <w:p w14:paraId="47596BDE">
      <w:pPr>
        <w:spacing w:line="360" w:lineRule="auto"/>
        <w:ind w:firstLine="480" w:firstLineChars="200"/>
        <w:jc w:val="right"/>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单位：万元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3"/>
        <w:gridCol w:w="3355"/>
        <w:gridCol w:w="3730"/>
      </w:tblGrid>
      <w:tr w14:paraId="06029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14:paraId="258D8F2E">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项目</w:t>
            </w:r>
          </w:p>
        </w:tc>
        <w:tc>
          <w:tcPr>
            <w:tcW w:w="3355" w:type="dxa"/>
          </w:tcPr>
          <w:p w14:paraId="46A4DC13">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2024年6月30日</w:t>
            </w:r>
          </w:p>
          <w:p w14:paraId="0EDE786E">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（未经审计）</w:t>
            </w:r>
          </w:p>
        </w:tc>
        <w:tc>
          <w:tcPr>
            <w:tcW w:w="3730" w:type="dxa"/>
          </w:tcPr>
          <w:p w14:paraId="20160518">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2023年12月31日</w:t>
            </w:r>
          </w:p>
          <w:p w14:paraId="602D89FE">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（经审计）</w:t>
            </w:r>
          </w:p>
        </w:tc>
      </w:tr>
      <w:tr w14:paraId="3192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153A9DD2">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总资产</w:t>
            </w:r>
          </w:p>
        </w:tc>
        <w:tc>
          <w:tcPr>
            <w:tcW w:w="3355" w:type="dxa"/>
          </w:tcPr>
          <w:p w14:paraId="386D5245">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299,253.44</w:t>
            </w:r>
          </w:p>
        </w:tc>
        <w:tc>
          <w:tcPr>
            <w:tcW w:w="3730" w:type="dxa"/>
          </w:tcPr>
          <w:p w14:paraId="4588B625">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280,613.97</w:t>
            </w:r>
          </w:p>
        </w:tc>
      </w:tr>
      <w:tr w14:paraId="5FED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1FD80F2F">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净资产</w:t>
            </w:r>
          </w:p>
        </w:tc>
        <w:tc>
          <w:tcPr>
            <w:tcW w:w="3355" w:type="dxa"/>
          </w:tcPr>
          <w:p w14:paraId="133E2463">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189,451.14</w:t>
            </w:r>
          </w:p>
        </w:tc>
        <w:tc>
          <w:tcPr>
            <w:tcW w:w="3730" w:type="dxa"/>
          </w:tcPr>
          <w:p w14:paraId="6C80496B">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227,986.09</w:t>
            </w:r>
          </w:p>
        </w:tc>
      </w:tr>
      <w:tr w14:paraId="10C31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3D9CF1F7">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项目</w:t>
            </w:r>
          </w:p>
        </w:tc>
        <w:tc>
          <w:tcPr>
            <w:tcW w:w="3355" w:type="dxa"/>
          </w:tcPr>
          <w:p w14:paraId="3200A291">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2024年1-6月（未经审计）</w:t>
            </w:r>
          </w:p>
        </w:tc>
        <w:tc>
          <w:tcPr>
            <w:tcW w:w="3730" w:type="dxa"/>
          </w:tcPr>
          <w:p w14:paraId="4858B11C">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2023年度（经审计）</w:t>
            </w:r>
          </w:p>
        </w:tc>
      </w:tr>
      <w:tr w14:paraId="22B46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41D5F68E">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营业收入</w:t>
            </w:r>
          </w:p>
        </w:tc>
        <w:tc>
          <w:tcPr>
            <w:tcW w:w="3355" w:type="dxa"/>
          </w:tcPr>
          <w:p w14:paraId="12F0E3FA">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40,813.76</w:t>
            </w:r>
          </w:p>
        </w:tc>
        <w:tc>
          <w:tcPr>
            <w:tcW w:w="3730" w:type="dxa"/>
          </w:tcPr>
          <w:p w14:paraId="06D5FAB6">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80,392.26</w:t>
            </w:r>
          </w:p>
        </w:tc>
      </w:tr>
      <w:tr w14:paraId="2835F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65229DF6">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净利润</w:t>
            </w:r>
          </w:p>
        </w:tc>
        <w:tc>
          <w:tcPr>
            <w:tcW w:w="3355" w:type="dxa"/>
          </w:tcPr>
          <w:p w14:paraId="41BE2C1A">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12,627.93</w:t>
            </w:r>
          </w:p>
        </w:tc>
        <w:tc>
          <w:tcPr>
            <w:tcW w:w="3730" w:type="dxa"/>
          </w:tcPr>
          <w:p w14:paraId="6F8282CD">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18,540.33</w:t>
            </w:r>
          </w:p>
        </w:tc>
      </w:tr>
    </w:tbl>
    <w:p w14:paraId="5EE5714E">
      <w:pPr>
        <w:spacing w:line="360" w:lineRule="auto"/>
        <w:ind w:firstLine="480" w:firstLineChars="200"/>
        <w:jc w:val="both"/>
        <w:rPr>
          <w:rFonts w:hint="default" w:ascii="宋体" w:hAnsi="宋体" w:eastAsia="宋体" w:cs="宋体"/>
          <w:color w:val="auto"/>
          <w:sz w:val="24"/>
          <w:szCs w:val="24"/>
          <w:lang w:val="en-US" w:eastAsia="zh-CN"/>
        </w:rPr>
      </w:pP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二</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被合并方基本情况</w:t>
      </w:r>
    </w:p>
    <w:p w14:paraId="5846D244">
      <w:pPr>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1、公司名称：浙江德升木业有限公司</w:t>
      </w:r>
    </w:p>
    <w:p w14:paraId="7F30DA4A">
      <w:pPr>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2、统一社会信用代码：913305007176236947</w:t>
      </w:r>
    </w:p>
    <w:p w14:paraId="2D52CB3C">
      <w:pPr>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3、公司地址：浙江省湖州市德清县乾元镇苕溪东街1188号</w:t>
      </w:r>
    </w:p>
    <w:p w14:paraId="43DD3537">
      <w:pPr>
        <w:spacing w:line="360" w:lineRule="auto"/>
        <w:ind w:firstLine="480" w:firstLineChars="200"/>
        <w:jc w:val="both"/>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4、公司法人：</w:t>
      </w:r>
      <w:r>
        <w:rPr>
          <w:rFonts w:hint="eastAsia" w:ascii="宋体" w:hAnsi="宋体" w:cs="宋体"/>
          <w:color w:val="auto"/>
          <w:sz w:val="24"/>
          <w:szCs w:val="24"/>
          <w:lang w:val="en-US" w:eastAsia="zh-CN"/>
        </w:rPr>
        <w:t>沈怡强</w:t>
      </w:r>
    </w:p>
    <w:p w14:paraId="2C5E710E">
      <w:pPr>
        <w:spacing w:line="360" w:lineRule="auto"/>
        <w:ind w:firstLine="480" w:firstLineChars="200"/>
        <w:jc w:val="both"/>
        <w:rPr>
          <w:rFonts w:hint="eastAsia" w:ascii="宋体" w:hAnsi="宋体" w:eastAsia="宋体" w:cs="宋体"/>
          <w:color w:val="auto"/>
          <w:sz w:val="24"/>
          <w:szCs w:val="24"/>
          <w:lang w:eastAsia="zh-CN"/>
        </w:rPr>
      </w:pPr>
      <w:r>
        <w:rPr>
          <w:rFonts w:hint="eastAsia" w:ascii="宋体" w:hAnsi="宋体" w:eastAsia="宋体" w:cs="宋体"/>
          <w:color w:val="auto"/>
          <w:sz w:val="24"/>
          <w:szCs w:val="24"/>
        </w:rPr>
        <w:t>5、注册资本：7</w:t>
      </w:r>
      <w:r>
        <w:rPr>
          <w:rFonts w:hint="eastAsia" w:ascii="宋体" w:hAnsi="宋体" w:cs="宋体"/>
          <w:color w:val="auto"/>
          <w:sz w:val="24"/>
          <w:szCs w:val="24"/>
          <w:lang w:val="en-US" w:eastAsia="zh-CN"/>
        </w:rPr>
        <w:t>,</w:t>
      </w:r>
      <w:r>
        <w:rPr>
          <w:rFonts w:hint="eastAsia" w:ascii="宋体" w:hAnsi="宋体" w:eastAsia="宋体" w:cs="宋体"/>
          <w:color w:val="auto"/>
          <w:sz w:val="24"/>
          <w:szCs w:val="24"/>
        </w:rPr>
        <w:t>450.442028万</w:t>
      </w:r>
      <w:r>
        <w:rPr>
          <w:rFonts w:hint="eastAsia" w:ascii="宋体" w:hAnsi="宋体" w:cs="宋体"/>
          <w:color w:val="auto"/>
          <w:sz w:val="24"/>
          <w:szCs w:val="24"/>
          <w:lang w:val="en-US" w:eastAsia="zh-CN"/>
        </w:rPr>
        <w:t>元</w:t>
      </w:r>
    </w:p>
    <w:p w14:paraId="19B22DF8">
      <w:pPr>
        <w:spacing w:line="360" w:lineRule="auto"/>
        <w:ind w:firstLine="480" w:firstLineChars="200"/>
        <w:jc w:val="both"/>
        <w:rPr>
          <w:rFonts w:hint="eastAsia" w:ascii="宋体" w:hAnsi="宋体" w:eastAsia="宋体" w:cs="宋体"/>
          <w:color w:val="auto"/>
          <w:sz w:val="24"/>
          <w:szCs w:val="24"/>
        </w:rPr>
      </w:pPr>
      <w:r>
        <w:rPr>
          <w:rFonts w:hint="eastAsia" w:ascii="宋体" w:hAnsi="宋体" w:eastAsia="宋体" w:cs="宋体"/>
          <w:color w:val="auto"/>
          <w:sz w:val="24"/>
          <w:szCs w:val="24"/>
        </w:rPr>
        <w:t>6、经营范围：装饰贴面板，人造板及其他木制品的生产和销售，原木加工和销售。</w:t>
      </w:r>
    </w:p>
    <w:p w14:paraId="170B0E86">
      <w:pPr>
        <w:spacing w:line="360" w:lineRule="auto"/>
        <w:ind w:firstLine="480" w:firstLineChars="200"/>
        <w:jc w:val="both"/>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7、德升木业最近一年又一期的主要财务数据：</w:t>
      </w:r>
    </w:p>
    <w:p w14:paraId="3E7AC4F9">
      <w:pPr>
        <w:spacing w:line="360" w:lineRule="auto"/>
        <w:ind w:firstLine="480" w:firstLineChars="200"/>
        <w:jc w:val="right"/>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单位：万元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03"/>
        <w:gridCol w:w="3355"/>
        <w:gridCol w:w="3730"/>
      </w:tblGrid>
      <w:tr w14:paraId="0D199A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vAlign w:val="center"/>
          </w:tcPr>
          <w:p w14:paraId="04ADCDFA">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项目</w:t>
            </w:r>
          </w:p>
        </w:tc>
        <w:tc>
          <w:tcPr>
            <w:tcW w:w="3355" w:type="dxa"/>
          </w:tcPr>
          <w:p w14:paraId="1CCBC80D">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2024年6月30日</w:t>
            </w:r>
          </w:p>
          <w:p w14:paraId="2C85A358">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（未经审计）</w:t>
            </w:r>
          </w:p>
        </w:tc>
        <w:tc>
          <w:tcPr>
            <w:tcW w:w="3730" w:type="dxa"/>
          </w:tcPr>
          <w:p w14:paraId="5836B444">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2023年12月31日</w:t>
            </w:r>
          </w:p>
          <w:p w14:paraId="337E9D3F">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（经审计）</w:t>
            </w:r>
          </w:p>
        </w:tc>
      </w:tr>
      <w:tr w14:paraId="33CA7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1B64C14B">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总资产</w:t>
            </w:r>
          </w:p>
        </w:tc>
        <w:tc>
          <w:tcPr>
            <w:tcW w:w="3355" w:type="dxa"/>
          </w:tcPr>
          <w:p w14:paraId="7453782C">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10,700.59</w:t>
            </w:r>
          </w:p>
        </w:tc>
        <w:tc>
          <w:tcPr>
            <w:tcW w:w="3730" w:type="dxa"/>
          </w:tcPr>
          <w:p w14:paraId="0CFB994E">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10,596.99</w:t>
            </w:r>
          </w:p>
        </w:tc>
      </w:tr>
      <w:tr w14:paraId="266823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4092FF82">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净资产</w:t>
            </w:r>
          </w:p>
        </w:tc>
        <w:tc>
          <w:tcPr>
            <w:tcW w:w="3355" w:type="dxa"/>
          </w:tcPr>
          <w:p w14:paraId="5B75E575">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10,450.78</w:t>
            </w:r>
          </w:p>
        </w:tc>
        <w:tc>
          <w:tcPr>
            <w:tcW w:w="3730" w:type="dxa"/>
          </w:tcPr>
          <w:p w14:paraId="57301BB9">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10,195.31</w:t>
            </w:r>
          </w:p>
        </w:tc>
      </w:tr>
      <w:tr w14:paraId="06538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6B029471">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项目</w:t>
            </w:r>
          </w:p>
        </w:tc>
        <w:tc>
          <w:tcPr>
            <w:tcW w:w="3355" w:type="dxa"/>
          </w:tcPr>
          <w:p w14:paraId="644F3FD2">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2024年1-6月（未经审计）</w:t>
            </w:r>
          </w:p>
        </w:tc>
        <w:tc>
          <w:tcPr>
            <w:tcW w:w="3730" w:type="dxa"/>
          </w:tcPr>
          <w:p w14:paraId="47CC8149">
            <w:pPr>
              <w:widowControl w:val="0"/>
              <w:spacing w:line="360" w:lineRule="auto"/>
              <w:jc w:val="center"/>
              <w:rPr>
                <w:rFonts w:hint="eastAsia" w:ascii="宋体" w:hAnsi="宋体" w:eastAsia="宋体" w:cs="宋体"/>
                <w:color w:val="auto"/>
                <w:sz w:val="24"/>
                <w:szCs w:val="24"/>
                <w:vertAlign w:val="baseline"/>
              </w:rPr>
            </w:pPr>
            <w:r>
              <w:rPr>
                <w:rFonts w:hint="eastAsia" w:ascii="宋体" w:hAnsi="宋体" w:eastAsia="宋体" w:cs="宋体"/>
                <w:color w:val="auto"/>
                <w:sz w:val="24"/>
                <w:szCs w:val="24"/>
                <w:vertAlign w:val="baseline"/>
              </w:rPr>
              <w:t>2023年度（经审计）</w:t>
            </w:r>
          </w:p>
        </w:tc>
      </w:tr>
      <w:tr w14:paraId="7CB02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11556534">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营业收入</w:t>
            </w:r>
          </w:p>
        </w:tc>
        <w:tc>
          <w:tcPr>
            <w:tcW w:w="3355" w:type="dxa"/>
          </w:tcPr>
          <w:p w14:paraId="0A6B0DF2">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632.13</w:t>
            </w:r>
          </w:p>
        </w:tc>
        <w:tc>
          <w:tcPr>
            <w:tcW w:w="3730" w:type="dxa"/>
          </w:tcPr>
          <w:p w14:paraId="32504B5B">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1,401.04</w:t>
            </w:r>
          </w:p>
        </w:tc>
      </w:tr>
      <w:tr w14:paraId="523A2B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03" w:type="dxa"/>
          </w:tcPr>
          <w:p w14:paraId="4EDF1FA8">
            <w:pPr>
              <w:widowControl w:val="0"/>
              <w:spacing w:line="360" w:lineRule="auto"/>
              <w:jc w:val="center"/>
              <w:rPr>
                <w:rFonts w:hint="eastAsia"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净利润</w:t>
            </w:r>
          </w:p>
        </w:tc>
        <w:tc>
          <w:tcPr>
            <w:tcW w:w="3355" w:type="dxa"/>
          </w:tcPr>
          <w:p w14:paraId="6EE6ED76">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255.47</w:t>
            </w:r>
          </w:p>
        </w:tc>
        <w:tc>
          <w:tcPr>
            <w:tcW w:w="3730" w:type="dxa"/>
          </w:tcPr>
          <w:p w14:paraId="5C4B9A1E">
            <w:pPr>
              <w:widowControl w:val="0"/>
              <w:spacing w:line="360" w:lineRule="auto"/>
              <w:jc w:val="center"/>
              <w:rPr>
                <w:rFonts w:hint="default" w:ascii="宋体" w:hAnsi="宋体" w:eastAsia="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t>483.74</w:t>
            </w:r>
          </w:p>
        </w:tc>
      </w:tr>
    </w:tbl>
    <w:p w14:paraId="2BF91CD5">
      <w:pPr>
        <w:numPr>
          <w:ilvl w:val="0"/>
          <w:numId w:val="1"/>
        </w:numPr>
        <w:spacing w:line="360" w:lineRule="auto"/>
        <w:ind w:firstLine="480" w:firstLineChars="200"/>
        <w:jc w:val="both"/>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股东情况：德升木业为公司的全资子公司，公司持有其100%股权。</w:t>
      </w:r>
    </w:p>
    <w:p w14:paraId="6315CDF5">
      <w:pPr>
        <w:keepNext w:val="0"/>
        <w:keepLines w:val="0"/>
        <w:pageBreakBefore w:val="0"/>
        <w:widowControl/>
        <w:numPr>
          <w:ilvl w:val="0"/>
          <w:numId w:val="2"/>
        </w:numPr>
        <w:kinsoku/>
        <w:wordWrap/>
        <w:overflowPunct/>
        <w:topLinePunct w:val="0"/>
        <w:autoSpaceDE/>
        <w:autoSpaceDN/>
        <w:bidi w:val="0"/>
        <w:adjustRightInd/>
        <w:snapToGrid/>
        <w:spacing w:line="360" w:lineRule="auto"/>
        <w:ind w:firstLine="482" w:firstLineChars="200"/>
        <w:jc w:val="both"/>
        <w:textAlignment w:val="auto"/>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本次吸收合并的方式、范围及相关安排</w:t>
      </w:r>
    </w:p>
    <w:p w14:paraId="3EA17C16">
      <w:pPr>
        <w:keepNext w:val="0"/>
        <w:keepLines w:val="0"/>
        <w:pageBreakBefore w:val="0"/>
        <w:widowControl/>
        <w:numPr>
          <w:ilvl w:val="0"/>
          <w:numId w:val="3"/>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cs="宋体"/>
          <w:color w:val="auto"/>
          <w:sz w:val="24"/>
          <w:szCs w:val="24"/>
          <w:lang w:val="en-US" w:eastAsia="zh-CN"/>
        </w:rPr>
      </w:pPr>
      <w:r>
        <w:rPr>
          <w:rFonts w:hint="default" w:ascii="宋体" w:hAnsi="宋体" w:cs="宋体"/>
          <w:color w:val="auto"/>
          <w:sz w:val="24"/>
          <w:szCs w:val="24"/>
          <w:lang w:val="en-US" w:eastAsia="zh-CN"/>
        </w:rPr>
        <w:t>公司通过整体吸收合并的方式合并</w:t>
      </w:r>
      <w:r>
        <w:rPr>
          <w:rFonts w:hint="eastAsia" w:ascii="宋体" w:hAnsi="宋体" w:cs="宋体"/>
          <w:color w:val="auto"/>
          <w:sz w:val="24"/>
          <w:szCs w:val="24"/>
          <w:lang w:val="en-US" w:eastAsia="zh-CN"/>
        </w:rPr>
        <w:t>德升木业，</w:t>
      </w:r>
      <w:r>
        <w:rPr>
          <w:rFonts w:hint="default" w:ascii="宋体" w:hAnsi="宋体" w:cs="宋体"/>
          <w:color w:val="auto"/>
          <w:sz w:val="24"/>
          <w:szCs w:val="24"/>
          <w:lang w:val="en-US" w:eastAsia="zh-CN"/>
        </w:rPr>
        <w:t>本次吸收合并完成后，</w:t>
      </w:r>
      <w:r>
        <w:rPr>
          <w:rFonts w:hint="eastAsia" w:ascii="宋体" w:hAnsi="宋体" w:cs="宋体"/>
          <w:color w:val="auto"/>
          <w:sz w:val="24"/>
          <w:szCs w:val="24"/>
          <w:lang w:val="en-US" w:eastAsia="zh-CN"/>
        </w:rPr>
        <w:t>德升木业</w:t>
      </w:r>
      <w:r>
        <w:rPr>
          <w:rFonts w:hint="default" w:ascii="宋体" w:hAnsi="宋体" w:cs="宋体"/>
          <w:color w:val="auto"/>
          <w:sz w:val="24"/>
          <w:szCs w:val="24"/>
          <w:lang w:val="en-US" w:eastAsia="zh-CN"/>
        </w:rPr>
        <w:t>全部资产、负债、业务、人员、相关资质及其他一切权利与义务</w:t>
      </w:r>
      <w:r>
        <w:rPr>
          <w:rFonts w:hint="eastAsia" w:ascii="宋体" w:hAnsi="宋体" w:cs="宋体"/>
          <w:color w:val="auto"/>
          <w:sz w:val="24"/>
          <w:szCs w:val="24"/>
          <w:lang w:val="en-US" w:eastAsia="zh-CN"/>
        </w:rPr>
        <w:t>由公司承继，</w:t>
      </w:r>
      <w:r>
        <w:rPr>
          <w:rFonts w:hint="default" w:ascii="宋体" w:hAnsi="宋体" w:cs="宋体"/>
          <w:color w:val="auto"/>
          <w:sz w:val="24"/>
          <w:szCs w:val="24"/>
          <w:lang w:val="en-US" w:eastAsia="zh-CN"/>
        </w:rPr>
        <w:t>公司存续经营，</w:t>
      </w:r>
      <w:r>
        <w:rPr>
          <w:rFonts w:hint="eastAsia" w:ascii="宋体" w:hAnsi="宋体" w:cs="宋体"/>
          <w:color w:val="auto"/>
          <w:sz w:val="24"/>
          <w:szCs w:val="24"/>
          <w:lang w:val="en-US" w:eastAsia="zh-CN"/>
        </w:rPr>
        <w:t>德升木业</w:t>
      </w:r>
      <w:r>
        <w:rPr>
          <w:rFonts w:hint="default" w:ascii="宋体" w:hAnsi="宋体" w:cs="宋体"/>
          <w:color w:val="auto"/>
          <w:sz w:val="24"/>
          <w:szCs w:val="24"/>
          <w:lang w:val="en-US" w:eastAsia="zh-CN"/>
        </w:rPr>
        <w:t>的独立法人资格将被注销。</w:t>
      </w:r>
    </w:p>
    <w:p w14:paraId="3CE8D14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（二）</w:t>
      </w:r>
      <w:r>
        <w:rPr>
          <w:rFonts w:hint="default" w:ascii="宋体" w:hAnsi="宋体" w:cs="宋体"/>
          <w:color w:val="auto"/>
          <w:sz w:val="24"/>
          <w:szCs w:val="24"/>
          <w:lang w:val="en-US" w:eastAsia="zh-CN"/>
        </w:rPr>
        <w:t>合并双方共同</w:t>
      </w:r>
      <w:r>
        <w:rPr>
          <w:rFonts w:hint="eastAsia" w:ascii="宋体" w:hAnsi="宋体" w:cs="宋体"/>
          <w:color w:val="auto"/>
          <w:sz w:val="24"/>
          <w:szCs w:val="24"/>
          <w:lang w:val="en-US" w:eastAsia="zh-CN"/>
        </w:rPr>
        <w:t>办理</w:t>
      </w:r>
      <w:r>
        <w:rPr>
          <w:rFonts w:hint="default" w:ascii="宋体" w:hAnsi="宋体" w:cs="宋体"/>
          <w:color w:val="auto"/>
          <w:sz w:val="24"/>
          <w:szCs w:val="24"/>
          <w:lang w:val="en-US" w:eastAsia="zh-CN"/>
        </w:rPr>
        <w:t>相关资产转移、权属变更</w:t>
      </w:r>
      <w:r>
        <w:rPr>
          <w:rFonts w:hint="eastAsia" w:ascii="宋体" w:hAnsi="宋体" w:cs="宋体"/>
          <w:color w:val="auto"/>
          <w:sz w:val="24"/>
          <w:szCs w:val="24"/>
          <w:lang w:val="en-US" w:eastAsia="zh-CN"/>
        </w:rPr>
        <w:t>、工商登记变更及注销等相关程序和手续。</w:t>
      </w:r>
    </w:p>
    <w:p w14:paraId="6C00B067">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2" w:firstLineChars="200"/>
        <w:jc w:val="both"/>
        <w:textAlignment w:val="auto"/>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本次吸收合并的目的及对公司的影响</w:t>
      </w:r>
    </w:p>
    <w:p w14:paraId="0B44914B">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宋体" w:hAnsi="宋体" w:cs="宋体"/>
          <w:color w:val="auto"/>
          <w:sz w:val="24"/>
          <w:szCs w:val="24"/>
          <w:lang w:val="en-US" w:eastAsia="zh-CN"/>
        </w:rPr>
      </w:pPr>
      <w:r>
        <w:rPr>
          <w:rFonts w:hint="default" w:ascii="宋体" w:hAnsi="宋体" w:cs="宋体"/>
          <w:color w:val="auto"/>
          <w:sz w:val="24"/>
          <w:szCs w:val="24"/>
          <w:lang w:val="en-US" w:eastAsia="zh-CN"/>
        </w:rPr>
        <w:t>本次吸收合并有利于公司的未来发展和业务资源的整合，降低管理成本，提高运营效率。</w:t>
      </w:r>
      <w:r>
        <w:rPr>
          <w:rFonts w:hint="eastAsia" w:ascii="宋体" w:hAnsi="宋体" w:cs="宋体"/>
          <w:color w:val="auto"/>
          <w:sz w:val="24"/>
          <w:szCs w:val="24"/>
          <w:lang w:val="en-US" w:eastAsia="zh-CN"/>
        </w:rPr>
        <w:t>德升木业</w:t>
      </w:r>
      <w:r>
        <w:rPr>
          <w:rFonts w:hint="default" w:ascii="宋体" w:hAnsi="宋体" w:cs="宋体"/>
          <w:color w:val="auto"/>
          <w:sz w:val="24"/>
          <w:szCs w:val="24"/>
          <w:lang w:val="en-US" w:eastAsia="zh-CN"/>
        </w:rPr>
        <w:t>作为本公司全资子公司，其财务报表已纳入本公司合并报表范围内，本次吸收合并不会对公司财务状况产生不利影响，不会损害公司及公司股东的利益。</w:t>
      </w:r>
    </w:p>
    <w:p w14:paraId="321854A4">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2" w:firstLineChars="200"/>
        <w:jc w:val="both"/>
        <w:textAlignment w:val="auto"/>
        <w:rPr>
          <w:rFonts w:hint="default" w:ascii="宋体" w:hAnsi="宋体" w:cs="宋体"/>
          <w:b/>
          <w:bCs/>
          <w:color w:val="auto"/>
          <w:sz w:val="24"/>
          <w:szCs w:val="24"/>
          <w:lang w:val="en-US" w:eastAsia="zh-CN"/>
        </w:rPr>
      </w:pPr>
      <w:r>
        <w:rPr>
          <w:rFonts w:hint="default" w:ascii="宋体" w:hAnsi="宋体" w:cs="宋体"/>
          <w:b/>
          <w:bCs/>
          <w:color w:val="auto"/>
          <w:sz w:val="24"/>
          <w:szCs w:val="24"/>
          <w:lang w:val="en-US" w:eastAsia="zh-CN"/>
        </w:rPr>
        <w:t>有关办理本次吸收合并相关事宜的授权</w:t>
      </w:r>
    </w:p>
    <w:p w14:paraId="24A822EA">
      <w:pPr>
        <w:keepNext w:val="0"/>
        <w:keepLines w:val="0"/>
        <w:pageBreakBefore w:val="0"/>
        <w:widowControl/>
        <w:numPr>
          <w:ilvl w:val="0"/>
          <w:numId w:val="0"/>
        </w:numPr>
        <w:kinsoku/>
        <w:wordWrap/>
        <w:overflowPunct/>
        <w:topLinePunct w:val="0"/>
        <w:autoSpaceDE/>
        <w:autoSpaceDN/>
        <w:bidi w:val="0"/>
        <w:adjustRightInd/>
        <w:snapToGrid/>
        <w:spacing w:line="360" w:lineRule="auto"/>
        <w:ind w:leftChars="0" w:firstLine="480" w:firstLineChars="200"/>
        <w:jc w:val="both"/>
        <w:textAlignment w:val="auto"/>
        <w:rPr>
          <w:rFonts w:hint="default" w:ascii="宋体" w:hAnsi="宋体" w:cs="宋体"/>
          <w:color w:val="auto"/>
          <w:sz w:val="24"/>
          <w:szCs w:val="24"/>
          <w:lang w:val="en-US" w:eastAsia="zh-CN"/>
        </w:rPr>
      </w:pPr>
      <w:r>
        <w:rPr>
          <w:rFonts w:hint="default" w:ascii="宋体" w:hAnsi="宋体" w:cs="宋体"/>
          <w:color w:val="auto"/>
          <w:sz w:val="24"/>
          <w:szCs w:val="24"/>
          <w:lang w:val="en-US" w:eastAsia="zh-CN"/>
        </w:rPr>
        <w:t>根据《公司章程》有关规定</w:t>
      </w:r>
      <w:r>
        <w:rPr>
          <w:rFonts w:hint="eastAsia" w:ascii="宋体" w:hAnsi="宋体" w:cs="宋体"/>
          <w:color w:val="auto"/>
          <w:sz w:val="24"/>
          <w:szCs w:val="24"/>
          <w:lang w:val="en-US" w:eastAsia="zh-CN"/>
        </w:rPr>
        <w:t>，</w:t>
      </w:r>
      <w:r>
        <w:rPr>
          <w:rFonts w:hint="default" w:ascii="宋体" w:hAnsi="宋体" w:cs="宋体"/>
          <w:color w:val="auto"/>
          <w:sz w:val="24"/>
          <w:szCs w:val="24"/>
          <w:lang w:val="en-US" w:eastAsia="zh-CN"/>
        </w:rPr>
        <w:t>提请公司股东大会授权</w:t>
      </w:r>
      <w:r>
        <w:rPr>
          <w:rFonts w:hint="eastAsia" w:ascii="宋体" w:hAnsi="宋体" w:cs="宋体"/>
          <w:color w:val="auto"/>
          <w:sz w:val="24"/>
          <w:szCs w:val="24"/>
          <w:lang w:val="en-US" w:eastAsia="zh-CN"/>
        </w:rPr>
        <w:t>管理层</w:t>
      </w:r>
      <w:r>
        <w:rPr>
          <w:rFonts w:hint="default" w:ascii="宋体" w:hAnsi="宋体" w:cs="宋体"/>
          <w:color w:val="auto"/>
          <w:sz w:val="24"/>
          <w:szCs w:val="24"/>
          <w:lang w:val="en-US" w:eastAsia="zh-CN"/>
        </w:rPr>
        <w:t>具体负责组织实施与本次吸收合并相关的一切事宜，包括但不限于确定合并基准日、协议文本的签署、办理相关资产转移、工商</w:t>
      </w:r>
      <w:r>
        <w:rPr>
          <w:rFonts w:hint="eastAsia" w:ascii="宋体" w:hAnsi="宋体" w:cs="宋体"/>
          <w:color w:val="auto"/>
          <w:sz w:val="24"/>
          <w:szCs w:val="24"/>
          <w:lang w:val="en-US" w:eastAsia="zh-CN"/>
        </w:rPr>
        <w:t>注销</w:t>
      </w:r>
      <w:r>
        <w:rPr>
          <w:rFonts w:hint="default" w:ascii="宋体" w:hAnsi="宋体" w:cs="宋体"/>
          <w:color w:val="auto"/>
          <w:sz w:val="24"/>
          <w:szCs w:val="24"/>
          <w:lang w:val="en-US" w:eastAsia="zh-CN"/>
        </w:rPr>
        <w:t>登记等。本次授权有效期自股东大会审议批准之日起至本次吸收合并的相关事项全部办理完毕止。</w:t>
      </w:r>
    </w:p>
    <w:p w14:paraId="290EBDA3">
      <w:pPr>
        <w:keepNext w:val="0"/>
        <w:keepLines w:val="0"/>
        <w:pageBreakBefore w:val="0"/>
        <w:widowControl/>
        <w:numPr>
          <w:ilvl w:val="0"/>
          <w:numId w:val="2"/>
        </w:numPr>
        <w:kinsoku/>
        <w:wordWrap/>
        <w:overflowPunct/>
        <w:topLinePunct w:val="0"/>
        <w:autoSpaceDE/>
        <w:autoSpaceDN/>
        <w:bidi w:val="0"/>
        <w:adjustRightInd/>
        <w:snapToGrid/>
        <w:spacing w:line="360" w:lineRule="auto"/>
        <w:ind w:left="0" w:leftChars="0" w:firstLine="482" w:firstLineChars="200"/>
        <w:jc w:val="both"/>
        <w:textAlignment w:val="auto"/>
        <w:rPr>
          <w:rFonts w:hint="eastAsia" w:ascii="宋体" w:hAnsi="宋体" w:cs="宋体"/>
          <w:b/>
          <w:bCs/>
          <w:color w:val="auto"/>
          <w:sz w:val="24"/>
          <w:szCs w:val="24"/>
          <w:lang w:val="en-US" w:eastAsia="zh-CN"/>
        </w:rPr>
      </w:pPr>
      <w:r>
        <w:rPr>
          <w:rFonts w:hint="eastAsia" w:ascii="宋体" w:hAnsi="宋体" w:cs="宋体"/>
          <w:b/>
          <w:bCs/>
          <w:color w:val="auto"/>
          <w:sz w:val="24"/>
          <w:szCs w:val="24"/>
          <w:lang w:val="en-US" w:eastAsia="zh-CN"/>
        </w:rPr>
        <w:t>备查文件</w:t>
      </w:r>
    </w:p>
    <w:p w14:paraId="652EAA4F">
      <w:pPr>
        <w:keepNext w:val="0"/>
        <w:keepLines w:val="0"/>
        <w:pageBreakBefore w:val="0"/>
        <w:widowControl/>
        <w:numPr>
          <w:ilvl w:val="0"/>
          <w:numId w:val="4"/>
        </w:numPr>
        <w:kinsoku/>
        <w:wordWrap/>
        <w:overflowPunct/>
        <w:topLinePunct w:val="0"/>
        <w:autoSpaceDE/>
        <w:autoSpaceDN/>
        <w:bidi w:val="0"/>
        <w:adjustRightInd/>
        <w:snapToGrid/>
        <w:spacing w:line="360" w:lineRule="auto"/>
        <w:ind w:leftChars="0" w:firstLine="480" w:firstLineChars="200"/>
        <w:jc w:val="both"/>
        <w:textAlignment w:val="auto"/>
        <w:rPr>
          <w:rFonts w:hint="eastAsia" w:ascii="宋体" w:hAnsi="宋体" w:cs="宋体"/>
          <w:color w:val="auto"/>
          <w:sz w:val="24"/>
          <w:szCs w:val="24"/>
          <w:lang w:val="en-US" w:eastAsia="zh-CN"/>
        </w:rPr>
      </w:pPr>
      <w:r>
        <w:rPr>
          <w:rFonts w:hint="eastAsia" w:ascii="宋体" w:hAnsi="宋体" w:cs="宋体"/>
          <w:color w:val="auto"/>
          <w:sz w:val="24"/>
          <w:szCs w:val="24"/>
          <w:lang w:val="en-US" w:eastAsia="zh-CN"/>
        </w:rPr>
        <w:t>第八届董事会第十次会议决议。</w:t>
      </w:r>
    </w:p>
    <w:p w14:paraId="21FA97F9">
      <w:pPr>
        <w:numPr>
          <w:ilvl w:val="0"/>
          <w:numId w:val="0"/>
        </w:numPr>
        <w:spacing w:line="360" w:lineRule="auto"/>
        <w:rPr>
          <w:rFonts w:hint="default" w:ascii="宋体" w:hAnsi="宋体" w:cs="宋体"/>
          <w:color w:val="auto"/>
          <w:sz w:val="24"/>
          <w:szCs w:val="24"/>
          <w:lang w:val="en-US" w:eastAsia="zh-CN"/>
        </w:rPr>
      </w:pPr>
    </w:p>
    <w:p w14:paraId="44B31A98">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宋体" w:hAnsi="宋体" w:cs="宋体"/>
          <w:color w:val="auto"/>
          <w:sz w:val="24"/>
          <w:szCs w:val="24"/>
          <w:lang w:val="en-US" w:eastAsia="zh-CN"/>
        </w:rPr>
      </w:pPr>
      <w:bookmarkStart w:id="0" w:name="_GoBack"/>
      <w:bookmarkEnd w:id="0"/>
      <w:r>
        <w:rPr>
          <w:rFonts w:hint="eastAsia" w:ascii="宋体" w:hAnsi="宋体" w:cs="宋体"/>
          <w:color w:val="auto"/>
          <w:sz w:val="24"/>
          <w:szCs w:val="24"/>
          <w:lang w:val="en-US" w:eastAsia="zh-CN"/>
        </w:rPr>
        <w:t>特此公告。</w:t>
      </w:r>
    </w:p>
    <w:p w14:paraId="47CAB68E">
      <w:pPr>
        <w:spacing w:line="360" w:lineRule="auto"/>
        <w:ind w:firstLine="480" w:firstLineChars="200"/>
        <w:rPr>
          <w:rFonts w:hint="eastAsia" w:ascii="宋体" w:hAnsi="宋体" w:eastAsia="宋体" w:cs="宋体"/>
          <w:color w:val="auto"/>
          <w:sz w:val="24"/>
          <w:szCs w:val="24"/>
        </w:rPr>
      </w:pPr>
    </w:p>
    <w:p w14:paraId="46709391">
      <w:pPr>
        <w:spacing w:line="360" w:lineRule="auto"/>
        <w:ind w:firstLine="480" w:firstLineChars="200"/>
        <w:rPr>
          <w:rFonts w:hint="eastAsia" w:ascii="宋体" w:hAnsi="宋体" w:eastAsia="宋体" w:cs="宋体"/>
          <w:color w:val="auto"/>
          <w:sz w:val="24"/>
          <w:szCs w:val="24"/>
        </w:rPr>
      </w:pPr>
    </w:p>
    <w:p w14:paraId="2ECC7485">
      <w:pPr>
        <w:spacing w:line="360" w:lineRule="auto"/>
        <w:ind w:firstLine="480" w:firstLineChars="200"/>
        <w:rPr>
          <w:rFonts w:hint="eastAsia" w:ascii="宋体" w:hAnsi="宋体" w:eastAsia="宋体" w:cs="宋体"/>
          <w:color w:val="auto"/>
          <w:sz w:val="24"/>
          <w:szCs w:val="24"/>
        </w:rPr>
      </w:pPr>
    </w:p>
    <w:p w14:paraId="7BD02D0D">
      <w:pPr>
        <w:spacing w:line="360" w:lineRule="auto"/>
        <w:ind w:firstLine="480" w:firstLineChars="200"/>
        <w:rPr>
          <w:rFonts w:ascii="宋体" w:hAnsi="宋体" w:eastAsia="宋体" w:cs="宋体"/>
          <w:color w:val="auto"/>
          <w:sz w:val="24"/>
          <w:szCs w:val="24"/>
        </w:rPr>
      </w:pPr>
    </w:p>
    <w:p w14:paraId="506A1C17">
      <w:pPr>
        <w:spacing w:line="360" w:lineRule="auto"/>
        <w:jc w:val="right"/>
        <w:rPr>
          <w:rFonts w:ascii="宋体" w:hAnsi="宋体" w:eastAsia="宋体"/>
          <w:color w:val="000000"/>
          <w:sz w:val="24"/>
          <w:szCs w:val="24"/>
        </w:rPr>
      </w:pPr>
      <w:r>
        <w:rPr>
          <w:rFonts w:hint="eastAsia" w:ascii="宋体" w:hAnsi="宋体" w:eastAsia="宋体"/>
          <w:color w:val="000000"/>
          <w:sz w:val="24"/>
          <w:szCs w:val="24"/>
        </w:rPr>
        <w:t xml:space="preserve">德华兔宝宝装饰新材股份有限公司 </w:t>
      </w:r>
    </w:p>
    <w:p w14:paraId="40AB3576">
      <w:pPr>
        <w:spacing w:line="360" w:lineRule="auto"/>
        <w:jc w:val="left"/>
        <w:rPr>
          <w:rFonts w:ascii="宋体" w:hAnsi="宋体" w:eastAsia="宋体"/>
          <w:color w:val="000000"/>
          <w:sz w:val="24"/>
          <w:szCs w:val="24"/>
        </w:rPr>
      </w:pPr>
      <w:r>
        <w:rPr>
          <w:rFonts w:hint="eastAsia" w:ascii="宋体" w:hAnsi="宋体" w:eastAsia="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eastAsia="宋体"/>
          <w:color w:val="000000"/>
          <w:sz w:val="24"/>
          <w:szCs w:val="24"/>
        </w:rPr>
        <w:t xml:space="preserve"> 董 事 会 </w:t>
      </w:r>
    </w:p>
    <w:p w14:paraId="136553FF">
      <w:pPr>
        <w:spacing w:line="360" w:lineRule="auto"/>
        <w:rPr>
          <w:rFonts w:hint="default" w:ascii="宋体" w:hAnsi="宋体"/>
          <w:color w:val="000000"/>
          <w:sz w:val="24"/>
          <w:szCs w:val="24"/>
          <w:lang w:val="en-US" w:eastAsia="zh-CN"/>
        </w:rPr>
      </w:pPr>
      <w:r>
        <w:rPr>
          <w:rFonts w:hint="eastAsia" w:ascii="宋体" w:hAnsi="宋体" w:eastAsia="宋体"/>
          <w:color w:val="000000"/>
          <w:sz w:val="24"/>
          <w:szCs w:val="24"/>
        </w:rPr>
        <w:t xml:space="preserve">                                                </w:t>
      </w:r>
      <w:r>
        <w:rPr>
          <w:rFonts w:hint="eastAsia" w:ascii="宋体" w:hAnsi="宋体"/>
          <w:color w:val="000000"/>
          <w:sz w:val="24"/>
          <w:szCs w:val="24"/>
          <w:lang w:val="en-US" w:eastAsia="zh-CN"/>
        </w:rPr>
        <w:t xml:space="preserve"> </w:t>
      </w:r>
      <w:r>
        <w:rPr>
          <w:rFonts w:hint="eastAsia" w:ascii="宋体" w:hAnsi="宋体" w:eastAsia="宋体"/>
          <w:color w:val="000000"/>
          <w:sz w:val="24"/>
          <w:szCs w:val="24"/>
        </w:rPr>
        <w:t xml:space="preserve">   </w:t>
      </w:r>
      <w:r>
        <w:rPr>
          <w:rFonts w:hint="eastAsia" w:ascii="宋体" w:hAnsi="宋体"/>
          <w:color w:val="000000"/>
          <w:sz w:val="24"/>
          <w:szCs w:val="24"/>
          <w:lang w:val="en-US" w:eastAsia="zh-CN"/>
        </w:rPr>
        <w:t xml:space="preserve"> 2024</w:t>
      </w:r>
      <w:r>
        <w:rPr>
          <w:rFonts w:hint="eastAsia" w:ascii="宋体" w:hAnsi="宋体" w:eastAsia="宋体"/>
          <w:color w:val="000000"/>
          <w:sz w:val="24"/>
          <w:szCs w:val="24"/>
        </w:rPr>
        <w:t>年</w:t>
      </w:r>
      <w:r>
        <w:rPr>
          <w:rFonts w:hint="eastAsia" w:ascii="宋体" w:hAnsi="宋体"/>
          <w:color w:val="000000"/>
          <w:sz w:val="24"/>
          <w:szCs w:val="24"/>
          <w:lang w:val="en-US" w:eastAsia="zh-CN"/>
        </w:rPr>
        <w:t>9</w:t>
      </w:r>
      <w:r>
        <w:rPr>
          <w:rFonts w:hint="eastAsia" w:ascii="宋体" w:hAnsi="宋体" w:eastAsia="宋体"/>
          <w:color w:val="000000"/>
          <w:sz w:val="24"/>
          <w:szCs w:val="24"/>
        </w:rPr>
        <w:t>月</w:t>
      </w:r>
      <w:r>
        <w:rPr>
          <w:rFonts w:hint="eastAsia" w:ascii="宋体" w:hAnsi="宋体"/>
          <w:color w:val="000000"/>
          <w:sz w:val="24"/>
          <w:szCs w:val="24"/>
          <w:lang w:val="en-US" w:eastAsia="zh-CN"/>
        </w:rPr>
        <w:t>20日</w:t>
      </w:r>
    </w:p>
    <w:sectPr>
      <w:pgSz w:w="11906" w:h="16838"/>
      <w:pgMar w:top="1361" w:right="1417" w:bottom="1361"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5C624C"/>
    <w:multiLevelType w:val="singleLevel"/>
    <w:tmpl w:val="BE5C624C"/>
    <w:lvl w:ilvl="0" w:tentative="0">
      <w:start w:val="3"/>
      <w:numFmt w:val="chineseCounting"/>
      <w:suff w:val="nothing"/>
      <w:lvlText w:val="%1、"/>
      <w:lvlJc w:val="left"/>
      <w:rPr>
        <w:rFonts w:hint="eastAsia"/>
      </w:rPr>
    </w:lvl>
  </w:abstractNum>
  <w:abstractNum w:abstractNumId="1">
    <w:nsid w:val="06AC69A4"/>
    <w:multiLevelType w:val="singleLevel"/>
    <w:tmpl w:val="06AC69A4"/>
    <w:lvl w:ilvl="0" w:tentative="0">
      <w:start w:val="1"/>
      <w:numFmt w:val="chineseCounting"/>
      <w:suff w:val="nothing"/>
      <w:lvlText w:val="（%1）"/>
      <w:lvlJc w:val="left"/>
      <w:rPr>
        <w:rFonts w:hint="eastAsia"/>
      </w:rPr>
    </w:lvl>
  </w:abstractNum>
  <w:abstractNum w:abstractNumId="2">
    <w:nsid w:val="25367B41"/>
    <w:multiLevelType w:val="singleLevel"/>
    <w:tmpl w:val="25367B41"/>
    <w:lvl w:ilvl="0" w:tentative="0">
      <w:start w:val="1"/>
      <w:numFmt w:val="decimal"/>
      <w:suff w:val="nothing"/>
      <w:lvlText w:val="%1、"/>
      <w:lvlJc w:val="left"/>
    </w:lvl>
  </w:abstractNum>
  <w:abstractNum w:abstractNumId="3">
    <w:nsid w:val="53C9C76B"/>
    <w:multiLevelType w:val="singleLevel"/>
    <w:tmpl w:val="53C9C76B"/>
    <w:lvl w:ilvl="0" w:tentative="0">
      <w:start w:val="8"/>
      <w:numFmt w:val="decimal"/>
      <w:suff w:val="nothing"/>
      <w:lvlText w:val="%1、"/>
      <w:lvlJc w:val="left"/>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wNjBhNGIxZjE5ZGM2MTY0MTM5ZTUwOWZmNzVlY2UifQ=="/>
  </w:docVars>
  <w:rsids>
    <w:rsidRoot w:val="46985E33"/>
    <w:rsid w:val="000E472C"/>
    <w:rsid w:val="001448BA"/>
    <w:rsid w:val="00153C2F"/>
    <w:rsid w:val="001812A0"/>
    <w:rsid w:val="00234225"/>
    <w:rsid w:val="002516E5"/>
    <w:rsid w:val="00293336"/>
    <w:rsid w:val="002D1418"/>
    <w:rsid w:val="003F2DB3"/>
    <w:rsid w:val="005113B9"/>
    <w:rsid w:val="008176EE"/>
    <w:rsid w:val="0087237D"/>
    <w:rsid w:val="008F0603"/>
    <w:rsid w:val="00932734"/>
    <w:rsid w:val="00950EF3"/>
    <w:rsid w:val="009A5206"/>
    <w:rsid w:val="00A525BE"/>
    <w:rsid w:val="00C76279"/>
    <w:rsid w:val="00CB1164"/>
    <w:rsid w:val="00CF5674"/>
    <w:rsid w:val="03A80BD3"/>
    <w:rsid w:val="0718542E"/>
    <w:rsid w:val="07475E2C"/>
    <w:rsid w:val="077F1687"/>
    <w:rsid w:val="08845B95"/>
    <w:rsid w:val="09460911"/>
    <w:rsid w:val="0A4B01C2"/>
    <w:rsid w:val="0B022976"/>
    <w:rsid w:val="0D22036D"/>
    <w:rsid w:val="0E314812"/>
    <w:rsid w:val="0EF86D1A"/>
    <w:rsid w:val="0FB04FDE"/>
    <w:rsid w:val="111F2BA3"/>
    <w:rsid w:val="11FE21B2"/>
    <w:rsid w:val="12556679"/>
    <w:rsid w:val="14252620"/>
    <w:rsid w:val="14C120EC"/>
    <w:rsid w:val="150F2779"/>
    <w:rsid w:val="15B465C5"/>
    <w:rsid w:val="17B64BE9"/>
    <w:rsid w:val="18070E65"/>
    <w:rsid w:val="1A245885"/>
    <w:rsid w:val="1AB81688"/>
    <w:rsid w:val="1AC60FA3"/>
    <w:rsid w:val="1B6B3C20"/>
    <w:rsid w:val="1D18754B"/>
    <w:rsid w:val="1D553EC1"/>
    <w:rsid w:val="20EA3C9D"/>
    <w:rsid w:val="24232F32"/>
    <w:rsid w:val="24431BDE"/>
    <w:rsid w:val="24C0607B"/>
    <w:rsid w:val="26E44E5D"/>
    <w:rsid w:val="27614CA1"/>
    <w:rsid w:val="27C918CE"/>
    <w:rsid w:val="28FF40E5"/>
    <w:rsid w:val="29697A1D"/>
    <w:rsid w:val="2A3769DB"/>
    <w:rsid w:val="2D2F3926"/>
    <w:rsid w:val="2E0B4C39"/>
    <w:rsid w:val="2E514683"/>
    <w:rsid w:val="2FD97C58"/>
    <w:rsid w:val="32317416"/>
    <w:rsid w:val="37061630"/>
    <w:rsid w:val="3849361F"/>
    <w:rsid w:val="384C270B"/>
    <w:rsid w:val="39C738AC"/>
    <w:rsid w:val="39F42A14"/>
    <w:rsid w:val="3AB16D36"/>
    <w:rsid w:val="3B5C77BD"/>
    <w:rsid w:val="3D3A0941"/>
    <w:rsid w:val="3F332ECA"/>
    <w:rsid w:val="3FBC4D0B"/>
    <w:rsid w:val="40CD28C4"/>
    <w:rsid w:val="418C6530"/>
    <w:rsid w:val="41967399"/>
    <w:rsid w:val="426C14DC"/>
    <w:rsid w:val="43FA0291"/>
    <w:rsid w:val="442F283C"/>
    <w:rsid w:val="4480265D"/>
    <w:rsid w:val="458D5615"/>
    <w:rsid w:val="45935232"/>
    <w:rsid w:val="45E4245B"/>
    <w:rsid w:val="463D5216"/>
    <w:rsid w:val="46985E33"/>
    <w:rsid w:val="46AB4F7F"/>
    <w:rsid w:val="46E07469"/>
    <w:rsid w:val="47AE2AFD"/>
    <w:rsid w:val="48AC6150"/>
    <w:rsid w:val="4B24381B"/>
    <w:rsid w:val="4B321807"/>
    <w:rsid w:val="4E214195"/>
    <w:rsid w:val="4F842A23"/>
    <w:rsid w:val="50B76B61"/>
    <w:rsid w:val="51B51F22"/>
    <w:rsid w:val="52970B02"/>
    <w:rsid w:val="52F06EBE"/>
    <w:rsid w:val="55076AC7"/>
    <w:rsid w:val="55440772"/>
    <w:rsid w:val="56795204"/>
    <w:rsid w:val="58970BFD"/>
    <w:rsid w:val="5DE708A5"/>
    <w:rsid w:val="5EAF21EE"/>
    <w:rsid w:val="5EDA7FD9"/>
    <w:rsid w:val="606E034E"/>
    <w:rsid w:val="6081748E"/>
    <w:rsid w:val="608776A4"/>
    <w:rsid w:val="61B31BDD"/>
    <w:rsid w:val="62EA2C49"/>
    <w:rsid w:val="62F435E7"/>
    <w:rsid w:val="63784F2A"/>
    <w:rsid w:val="63D73106"/>
    <w:rsid w:val="641437FD"/>
    <w:rsid w:val="64C92C61"/>
    <w:rsid w:val="66597692"/>
    <w:rsid w:val="66FE76DF"/>
    <w:rsid w:val="67C137CA"/>
    <w:rsid w:val="6951249E"/>
    <w:rsid w:val="69DC5C3B"/>
    <w:rsid w:val="6A9C1E7E"/>
    <w:rsid w:val="6AE3279B"/>
    <w:rsid w:val="6B38667A"/>
    <w:rsid w:val="6BEC00A0"/>
    <w:rsid w:val="6C425E1B"/>
    <w:rsid w:val="6DA12A6D"/>
    <w:rsid w:val="6EFF4582"/>
    <w:rsid w:val="6F2C4D00"/>
    <w:rsid w:val="6F7C2E7B"/>
    <w:rsid w:val="707A7D64"/>
    <w:rsid w:val="70D74FD1"/>
    <w:rsid w:val="73033076"/>
    <w:rsid w:val="73D47918"/>
    <w:rsid w:val="73FA07F1"/>
    <w:rsid w:val="75E32CD6"/>
    <w:rsid w:val="75FD499F"/>
    <w:rsid w:val="778761B8"/>
    <w:rsid w:val="7808484E"/>
    <w:rsid w:val="78693CAA"/>
    <w:rsid w:val="79E04DB7"/>
    <w:rsid w:val="79F6752B"/>
    <w:rsid w:val="7A8B758D"/>
    <w:rsid w:val="7ABB25E4"/>
    <w:rsid w:val="7BAE260E"/>
    <w:rsid w:val="7DA54F47"/>
    <w:rsid w:val="7EF3613D"/>
    <w:rsid w:val="7F28092C"/>
    <w:rsid w:val="7F8E07D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jc w:val="both"/>
    </w:pPr>
    <w:rPr>
      <w:rFonts w:ascii="Times New Roman" w:hAnsi="Times New Roman" w:eastAsia="宋体" w:cs="Times New Roman"/>
      <w:kern w:val="2"/>
      <w:sz w:val="21"/>
      <w:szCs w:val="22"/>
      <w:lang w:val="en-US" w:eastAsia="zh-CN" w:bidi="ar-SA"/>
    </w:rPr>
  </w:style>
  <w:style w:type="paragraph" w:styleId="2">
    <w:name w:val="heading 2"/>
    <w:basedOn w:val="1"/>
    <w:next w:val="1"/>
    <w:autoRedefine/>
    <w:unhideWhenUsed/>
    <w:qFormat/>
    <w:uiPriority w:val="0"/>
    <w:pPr>
      <w:spacing w:before="100" w:beforeAutospacing="1" w:after="100" w:afterAutospacing="1"/>
      <w:jc w:val="left"/>
      <w:outlineLvl w:val="1"/>
    </w:pPr>
    <w:rPr>
      <w:rFonts w:hint="eastAsia" w:ascii="宋体" w:hAnsi="宋体"/>
      <w:kern w:val="0"/>
      <w:sz w:val="30"/>
      <w:szCs w:val="30"/>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3">
    <w:name w:val="annotation text"/>
    <w:basedOn w:val="1"/>
    <w:link w:val="12"/>
    <w:autoRedefine/>
    <w:qFormat/>
    <w:uiPriority w:val="0"/>
    <w:pPr>
      <w:jc w:val="left"/>
    </w:pPr>
  </w:style>
  <w:style w:type="paragraph" w:styleId="4">
    <w:name w:val="Balloon Text"/>
    <w:basedOn w:val="1"/>
    <w:link w:val="13"/>
    <w:autoRedefine/>
    <w:qFormat/>
    <w:uiPriority w:val="0"/>
    <w:rPr>
      <w:sz w:val="18"/>
      <w:szCs w:val="18"/>
    </w:rPr>
  </w:style>
  <w:style w:type="paragraph" w:styleId="5">
    <w:name w:val="footer"/>
    <w:basedOn w:val="1"/>
    <w:link w:val="14"/>
    <w:autoRedefine/>
    <w:qFormat/>
    <w:uiPriority w:val="0"/>
    <w:pPr>
      <w:tabs>
        <w:tab w:val="center" w:pos="4153"/>
        <w:tab w:val="right" w:pos="8306"/>
      </w:tabs>
      <w:snapToGrid w:val="0"/>
      <w:jc w:val="left"/>
    </w:pPr>
    <w:rPr>
      <w:sz w:val="18"/>
      <w:szCs w:val="18"/>
    </w:rPr>
  </w:style>
  <w:style w:type="paragraph" w:styleId="6">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6"/>
    <w:autoRedefine/>
    <w:qFormat/>
    <w:uiPriority w:val="0"/>
    <w:rPr>
      <w:b/>
      <w:bCs/>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autoRedefine/>
    <w:qFormat/>
    <w:uiPriority w:val="0"/>
    <w:rPr>
      <w:sz w:val="21"/>
      <w:szCs w:val="21"/>
    </w:rPr>
  </w:style>
  <w:style w:type="character" w:customStyle="1" w:styleId="12">
    <w:name w:val="批注文字 Char"/>
    <w:basedOn w:val="10"/>
    <w:link w:val="3"/>
    <w:autoRedefine/>
    <w:qFormat/>
    <w:uiPriority w:val="0"/>
    <w:rPr>
      <w:kern w:val="2"/>
      <w:sz w:val="21"/>
      <w:szCs w:val="22"/>
    </w:rPr>
  </w:style>
  <w:style w:type="character" w:customStyle="1" w:styleId="13">
    <w:name w:val="批注框文本 Char"/>
    <w:basedOn w:val="10"/>
    <w:link w:val="4"/>
    <w:autoRedefine/>
    <w:qFormat/>
    <w:uiPriority w:val="0"/>
    <w:rPr>
      <w:kern w:val="2"/>
      <w:sz w:val="18"/>
      <w:szCs w:val="18"/>
    </w:rPr>
  </w:style>
  <w:style w:type="character" w:customStyle="1" w:styleId="14">
    <w:name w:val="页脚 Char"/>
    <w:basedOn w:val="10"/>
    <w:link w:val="5"/>
    <w:autoRedefine/>
    <w:qFormat/>
    <w:uiPriority w:val="0"/>
    <w:rPr>
      <w:kern w:val="2"/>
      <w:sz w:val="18"/>
      <w:szCs w:val="18"/>
    </w:rPr>
  </w:style>
  <w:style w:type="character" w:customStyle="1" w:styleId="15">
    <w:name w:val="页眉 Char"/>
    <w:basedOn w:val="10"/>
    <w:link w:val="6"/>
    <w:autoRedefine/>
    <w:qFormat/>
    <w:uiPriority w:val="0"/>
    <w:rPr>
      <w:kern w:val="2"/>
      <w:sz w:val="18"/>
      <w:szCs w:val="18"/>
    </w:rPr>
  </w:style>
  <w:style w:type="character" w:customStyle="1" w:styleId="16">
    <w:name w:val="批注主题 Char"/>
    <w:basedOn w:val="12"/>
    <w:link w:val="7"/>
    <w:autoRedefine/>
    <w:qFormat/>
    <w:uiPriority w:val="0"/>
    <w:rPr>
      <w:b/>
      <w:bCs/>
      <w:kern w:val="2"/>
      <w:sz w:val="21"/>
      <w:szCs w:val="22"/>
    </w:rPr>
  </w:style>
  <w:style w:type="paragraph" w:customStyle="1" w:styleId="1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1485</Words>
  <Characters>1722</Characters>
  <Lines>21</Lines>
  <Paragraphs>6</Paragraphs>
  <TotalTime>73</TotalTime>
  <ScaleCrop>false</ScaleCrop>
  <LinksUpToDate>false</LinksUpToDate>
  <CharactersWithSpaces>1872</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2020-03-03T02:47:00Z</dcterms:created>
  <dc:creator>admin</dc:creator>
  <cp:lastModifiedBy>沈煜</cp:lastModifiedBy>
  <cp:lastPrinted>2024-09-11T05:46:00Z</cp:lastPrinted>
  <dcterms:modified xsi:type="dcterms:W3CDTF">2024-09-19T05:51:09Z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1D55997731284B61946E99FA28E60F32_13</vt:lpwstr>
  </property>
  <property fmtid="{D5CDD505-2E9C-101B-9397-08002B2CF9AE}" pid="4" name="commondata">
    <vt:lpwstr>eyJoZGlkIjoiOTgzNDk3MTU1M2MxYjFmMGQ3OWYxZTlhZDIwMzM5NGMifQ==</vt:lpwstr>
  </property>
</Properties>
</file>